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first" r:id="rId8"/>
          <w:footerReference w:type="first" r:id="rId9"/>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EA5734">
      <w:pPr>
        <w:pStyle w:val="Heading1"/>
      </w:pPr>
      <w:r w:rsidRPr="00EA5734">
        <w:t>Introduction</w:t>
      </w:r>
      <w:r w:rsidRPr="00D632BE">
        <w:t xml:space="preserve">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w:t>
      </w:r>
      <w:bookmarkStart w:id="0" w:name="_GoBack"/>
      <w:bookmarkEnd w:id="0"/>
      <w:r w:rsidRPr="005B520E">
        <w:t xml:space="preserve">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5B520E">
        <w:lastRenderedPageBreak/>
        <w:t>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lastRenderedPageBreak/>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lastRenderedPageBreak/>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8F" w:rsidRDefault="009C3D8F" w:rsidP="001A3B3D">
      <w:r>
        <w:separator/>
      </w:r>
    </w:p>
  </w:endnote>
  <w:endnote w:type="continuationSeparator" w:id="0">
    <w:p w:rsidR="009C3D8F" w:rsidRDefault="009C3D8F"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D" w:rsidRPr="00F6627B" w:rsidRDefault="00F6627B" w:rsidP="00EA5734">
    <w:pPr>
      <w:pStyle w:val="Footer"/>
      <w:jc w:val="left"/>
      <w:rPr>
        <w:sz w:val="24"/>
        <w:szCs w:val="24"/>
      </w:rPr>
    </w:pPr>
    <w:r w:rsidRPr="00F6627B">
      <w:t>979-8-3503-6132-2/24/$31.00 ©2024 IEEE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8F" w:rsidRDefault="009C3D8F" w:rsidP="001A3B3D">
      <w:r>
        <w:separator/>
      </w:r>
    </w:p>
  </w:footnote>
  <w:footnote w:type="continuationSeparator" w:id="0">
    <w:p w:rsidR="009C3D8F" w:rsidRDefault="009C3D8F" w:rsidP="001A3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734" w:rsidRPr="00F6627B" w:rsidRDefault="00F6627B" w:rsidP="00EA5734">
    <w:pPr>
      <w:pStyle w:val="Header"/>
      <w:jc w:val="left"/>
      <w:rPr>
        <w:rFonts w:asciiTheme="majorBidi" w:hAnsiTheme="majorBidi" w:cstheme="majorBidi"/>
        <w:color w:val="000000"/>
        <w:sz w:val="24"/>
        <w:szCs w:val="24"/>
      </w:rPr>
    </w:pPr>
    <w:r w:rsidRPr="00F6627B">
      <w:rPr>
        <w:rFonts w:asciiTheme="majorBidi" w:hAnsiTheme="majorBidi" w:cstheme="majorBidi"/>
        <w:szCs w:val="28"/>
      </w:rPr>
      <w:t>The 11</w:t>
    </w:r>
    <w:r w:rsidRPr="00F6627B">
      <w:rPr>
        <w:rFonts w:asciiTheme="majorBidi" w:hAnsiTheme="majorBidi" w:cstheme="majorBidi"/>
        <w:szCs w:val="28"/>
        <w:vertAlign w:val="superscript"/>
      </w:rPr>
      <w:t>th</w:t>
    </w:r>
    <w:r w:rsidRPr="00F6627B">
      <w:rPr>
        <w:rFonts w:asciiTheme="majorBidi" w:hAnsiTheme="majorBidi" w:cstheme="majorBidi"/>
        <w:spacing w:val="1"/>
        <w:szCs w:val="28"/>
      </w:rPr>
      <w:t xml:space="preserve"> </w:t>
    </w:r>
    <w:r w:rsidRPr="00F6627B">
      <w:rPr>
        <w:rFonts w:asciiTheme="majorBidi" w:hAnsiTheme="majorBidi" w:cstheme="majorBidi"/>
        <w:szCs w:val="28"/>
      </w:rPr>
      <w:t>Iranian Con</w:t>
    </w:r>
    <w:r w:rsidRPr="00F6627B">
      <w:rPr>
        <w:rFonts w:asciiTheme="majorBidi" w:hAnsiTheme="majorBidi" w:cstheme="majorBidi"/>
        <w:spacing w:val="-2"/>
        <w:szCs w:val="28"/>
      </w:rPr>
      <w:t>f</w:t>
    </w:r>
    <w:r w:rsidRPr="00F6627B">
      <w:rPr>
        <w:rFonts w:asciiTheme="majorBidi" w:hAnsiTheme="majorBidi" w:cstheme="majorBidi"/>
        <w:szCs w:val="28"/>
      </w:rPr>
      <w:t>eren</w:t>
    </w:r>
    <w:r w:rsidRPr="00F6627B">
      <w:rPr>
        <w:rFonts w:asciiTheme="majorBidi" w:hAnsiTheme="majorBidi" w:cstheme="majorBidi"/>
        <w:spacing w:val="-2"/>
        <w:szCs w:val="28"/>
      </w:rPr>
      <w:t>ce</w:t>
    </w:r>
    <w:r w:rsidRPr="00F6627B">
      <w:rPr>
        <w:rFonts w:asciiTheme="majorBidi" w:hAnsiTheme="majorBidi" w:cstheme="majorBidi"/>
        <w:spacing w:val="1"/>
        <w:szCs w:val="28"/>
      </w:rPr>
      <w:t xml:space="preserve"> </w:t>
    </w:r>
    <w:r w:rsidRPr="00F6627B">
      <w:rPr>
        <w:rFonts w:asciiTheme="majorBidi" w:hAnsiTheme="majorBidi" w:cstheme="majorBidi"/>
        <w:szCs w:val="28"/>
      </w:rPr>
      <w:t>on Renewable Energy &amp; Distributed Generation (IC</w:t>
    </w:r>
    <w:r w:rsidRPr="00F6627B">
      <w:rPr>
        <w:rFonts w:asciiTheme="majorBidi" w:hAnsiTheme="majorBidi" w:cstheme="majorBidi"/>
        <w:spacing w:val="-4"/>
        <w:szCs w:val="28"/>
      </w:rPr>
      <w:t>R</w:t>
    </w:r>
    <w:r w:rsidRPr="00F6627B">
      <w:rPr>
        <w:rFonts w:asciiTheme="majorBidi" w:hAnsiTheme="majorBidi" w:cstheme="majorBidi"/>
        <w:szCs w:val="28"/>
      </w:rPr>
      <w:t>EDG20</w:t>
    </w:r>
    <w:r w:rsidRPr="00F6627B">
      <w:rPr>
        <w:rFonts w:asciiTheme="majorBidi" w:hAnsiTheme="majorBidi" w:cstheme="majorBidi"/>
        <w:spacing w:val="1"/>
        <w:szCs w:val="28"/>
      </w:rPr>
      <w:t xml:space="preserve">24), </w:t>
    </w:r>
    <w:r w:rsidRPr="00F6627B">
      <w:rPr>
        <w:rFonts w:asciiTheme="majorBidi" w:hAnsiTheme="majorBidi" w:cstheme="majorBidi"/>
        <w:szCs w:val="28"/>
      </w:rPr>
      <w:t>6-7</w:t>
    </w:r>
    <w:r w:rsidRPr="00F6627B">
      <w:rPr>
        <w:rFonts w:asciiTheme="majorBidi" w:hAnsiTheme="majorBidi" w:cstheme="majorBidi"/>
        <w:spacing w:val="1"/>
        <w:szCs w:val="28"/>
      </w:rPr>
      <w:t xml:space="preserve"> March</w:t>
    </w:r>
    <w:r w:rsidRPr="00F6627B">
      <w:rPr>
        <w:rFonts w:asciiTheme="majorBidi" w:hAnsiTheme="majorBidi" w:cstheme="majorBidi"/>
        <w:spacing w:val="-2"/>
        <w:szCs w:val="28"/>
      </w:rPr>
      <w:t>,</w:t>
    </w:r>
    <w:r w:rsidRPr="00F6627B">
      <w:rPr>
        <w:rFonts w:asciiTheme="majorBidi" w:hAnsiTheme="majorBidi" w:cstheme="majorBidi"/>
        <w:spacing w:val="1"/>
        <w:szCs w:val="28"/>
      </w:rPr>
      <w:t xml:space="preserve"> </w:t>
    </w:r>
    <w:r w:rsidRPr="00F6627B">
      <w:rPr>
        <w:rFonts w:asciiTheme="majorBidi" w:hAnsiTheme="majorBidi" w:cstheme="majorBidi"/>
        <w:szCs w:val="28"/>
      </w:rPr>
      <w:t>2024, Yazd, Iran.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1E53"/>
    <w:rsid w:val="00025E60"/>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A38CB"/>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65E3F"/>
    <w:rsid w:val="00873603"/>
    <w:rsid w:val="008A2C7D"/>
    <w:rsid w:val="008B6524"/>
    <w:rsid w:val="008C4B23"/>
    <w:rsid w:val="008F6E2C"/>
    <w:rsid w:val="009303D9"/>
    <w:rsid w:val="00933C64"/>
    <w:rsid w:val="00972203"/>
    <w:rsid w:val="009C3D8F"/>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A5734"/>
    <w:rsid w:val="00ED0149"/>
    <w:rsid w:val="00EF7DE3"/>
    <w:rsid w:val="00F03103"/>
    <w:rsid w:val="00F227E2"/>
    <w:rsid w:val="00F271DE"/>
    <w:rsid w:val="00F627DA"/>
    <w:rsid w:val="00F6627B"/>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customStyle="1" w:styleId="object">
    <w:name w:val="object"/>
    <w:basedOn w:val="DefaultParagraphFont"/>
    <w:rsid w:val="00EA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C8FD-50F2-41ED-A0A6-979B5129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Mostafa</cp:lastModifiedBy>
  <cp:revision>2</cp:revision>
  <dcterms:created xsi:type="dcterms:W3CDTF">2023-12-16T11:03:00Z</dcterms:created>
  <dcterms:modified xsi:type="dcterms:W3CDTF">2023-12-16T11:03:00Z</dcterms:modified>
</cp:coreProperties>
</file>